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84B6" w14:textId="77777777" w:rsidR="003A759F" w:rsidRPr="003A759F" w:rsidRDefault="003A759F" w:rsidP="003A759F">
      <w:r w:rsidRPr="003A759F">
        <w:rPr>
          <w:b/>
          <w:bCs/>
        </w:rPr>
        <w:t>INFORME DE GESTIÓN</w:t>
      </w:r>
    </w:p>
    <w:p w14:paraId="238B184E" w14:textId="3AEA6231" w:rsidR="003A759F" w:rsidRPr="003A759F" w:rsidRDefault="003A759F" w:rsidP="003A759F">
      <w:r w:rsidRPr="003A759F">
        <w:rPr>
          <w:b/>
          <w:bCs/>
        </w:rPr>
        <w:t>Gerencia de Cooperación Internacional</w:t>
      </w:r>
      <w:r w:rsidRPr="003A759F">
        <w:br/>
      </w:r>
      <w:r w:rsidRPr="003A759F">
        <w:rPr>
          <w:b/>
          <w:bCs/>
        </w:rPr>
        <w:t xml:space="preserve">Abril - </w:t>
      </w:r>
      <w:r w:rsidR="00C300BE" w:rsidRPr="003A759F">
        <w:rPr>
          <w:b/>
          <w:bCs/>
        </w:rPr>
        <w:t>junio</w:t>
      </w:r>
      <w:r w:rsidRPr="003A759F">
        <w:rPr>
          <w:b/>
          <w:bCs/>
        </w:rPr>
        <w:t xml:space="preserve"> 2025</w:t>
      </w:r>
      <w:r w:rsidRPr="003A759F">
        <w:br/>
      </w:r>
      <w:r w:rsidRPr="003A759F">
        <w:rPr>
          <w:b/>
          <w:bCs/>
        </w:rPr>
        <w:t>Empresa de Generación Hidroeléctrica Dominicana (EGEHID)</w:t>
      </w:r>
    </w:p>
    <w:p w14:paraId="2A30282D" w14:textId="77777777" w:rsidR="003A759F" w:rsidRPr="003A759F" w:rsidRDefault="006A1936" w:rsidP="003A759F">
      <w:r>
        <w:pict w14:anchorId="6F132C0D">
          <v:rect id="_x0000_i1025" style="width:0;height:1.5pt" o:hralign="center" o:hrstd="t" o:hrnoshade="t" o:hr="t" fillcolor="#242424" stroked="f"/>
        </w:pict>
      </w:r>
    </w:p>
    <w:p w14:paraId="148216E6" w14:textId="77777777" w:rsidR="003A759F" w:rsidRPr="003A759F" w:rsidRDefault="003A759F" w:rsidP="003A759F">
      <w:r w:rsidRPr="003A759F">
        <w:rPr>
          <w:b/>
          <w:bCs/>
        </w:rPr>
        <w:t>1. Introducción</w:t>
      </w:r>
    </w:p>
    <w:p w14:paraId="5DB53325" w14:textId="3D4F61ED" w:rsidR="003A759F" w:rsidRDefault="003A759F" w:rsidP="003A759F">
      <w:r w:rsidRPr="003A759F">
        <w:t>Durante el segundo trimestre del año 2025, la Gerencia de Cooperación Internacional de la EGEHID ha continuado impulsando alianzas estratégicas, fortaleciendo vínculos institucionales y gestionando recursos técnicos y financieros con organismos internacionales, con el fin de apoyar el cumplimiento de los objetivos de desarrollo de la institución, especialmente en materia de sostenibilidad energética, innovación tecnológica y fortalecimiento institucional.</w:t>
      </w:r>
    </w:p>
    <w:p w14:paraId="296C9492" w14:textId="458C65DA" w:rsidR="003A759F" w:rsidRDefault="003A759F" w:rsidP="003A759F"/>
    <w:p w14:paraId="504D7183" w14:textId="77777777" w:rsidR="003A759F" w:rsidRPr="003A759F" w:rsidRDefault="003A759F" w:rsidP="003A759F">
      <w:r w:rsidRPr="003A759F">
        <w:t>Cooperación internacional ha adquirido especial relevancia para el fortalecimiento institucional y la ejecución de proyectos estratégicos. En el último año, se han establecido diálogos y acuerdos de cooperación con las siguientes delegaciones y organismos:</w:t>
      </w:r>
    </w:p>
    <w:p w14:paraId="362C3A9B" w14:textId="4FC5BCE0" w:rsidR="003A759F" w:rsidRDefault="003A759F" w:rsidP="003A759F"/>
    <w:p w14:paraId="6FEBB75C" w14:textId="1B9B470C" w:rsidR="003A759F" w:rsidRDefault="003A759F" w:rsidP="003A759F">
      <w:r w:rsidRPr="003A759F">
        <w:t>Gobierno del Reino Unido (UK)</w:t>
      </w:r>
      <w:r>
        <w:t>.</w:t>
      </w:r>
    </w:p>
    <w:p w14:paraId="2C3F82CD" w14:textId="7A3D455F" w:rsidR="003A759F" w:rsidRDefault="003A759F" w:rsidP="003A759F">
      <w:r w:rsidRPr="003A759F">
        <w:t>Agencia Francesa de Desarrollo (AFD)</w:t>
      </w:r>
      <w:r>
        <w:t>.</w:t>
      </w:r>
    </w:p>
    <w:p w14:paraId="0D527FD9" w14:textId="6BF4472B" w:rsidR="003A759F" w:rsidRPr="003A759F" w:rsidRDefault="00F56BBA" w:rsidP="003A759F">
      <w:r>
        <w:t xml:space="preserve">Agencia </w:t>
      </w:r>
      <w:r w:rsidR="003A759F" w:rsidRPr="003A759F">
        <w:t>Gobierno de Suecia</w:t>
      </w:r>
      <w:r>
        <w:t xml:space="preserve"> (</w:t>
      </w:r>
      <w:proofErr w:type="spellStart"/>
      <w:r>
        <w:t>Swedfund</w:t>
      </w:r>
      <w:proofErr w:type="spellEnd"/>
      <w:r>
        <w:t>)</w:t>
      </w:r>
      <w:r w:rsidR="003A759F">
        <w:t>.</w:t>
      </w:r>
      <w:r>
        <w:t xml:space="preserve"> </w:t>
      </w:r>
    </w:p>
    <w:p w14:paraId="0B77F81F" w14:textId="77777777" w:rsidR="003A759F" w:rsidRPr="003A759F" w:rsidRDefault="006A1936" w:rsidP="003A759F">
      <w:r>
        <w:pict w14:anchorId="4D8DD85F">
          <v:rect id="_x0000_i1026" style="width:0;height:1.5pt" o:hralign="center" o:hrstd="t" o:hrnoshade="t" o:hr="t" fillcolor="#242424" stroked="f"/>
        </w:pict>
      </w:r>
    </w:p>
    <w:p w14:paraId="14768366" w14:textId="77777777" w:rsidR="003A759F" w:rsidRPr="003A759F" w:rsidRDefault="003A759F" w:rsidP="003A759F">
      <w:r w:rsidRPr="003A759F">
        <w:rPr>
          <w:b/>
          <w:bCs/>
        </w:rPr>
        <w:t>2. Objetivos del Trimestre</w:t>
      </w:r>
    </w:p>
    <w:p w14:paraId="219B9422" w14:textId="77777777" w:rsidR="003A759F" w:rsidRPr="003A759F" w:rsidRDefault="003A759F" w:rsidP="003A759F">
      <w:pPr>
        <w:numPr>
          <w:ilvl w:val="0"/>
          <w:numId w:val="1"/>
        </w:numPr>
      </w:pPr>
      <w:r w:rsidRPr="003A759F">
        <w:t>Gestionar nuevas oportunidades de cooperación internacional alineadas con el Plan Estratégico Institucional.</w:t>
      </w:r>
    </w:p>
    <w:p w14:paraId="688E990B" w14:textId="77777777" w:rsidR="003A759F" w:rsidRPr="003A759F" w:rsidRDefault="003A759F" w:rsidP="003A759F">
      <w:pPr>
        <w:numPr>
          <w:ilvl w:val="0"/>
          <w:numId w:val="1"/>
        </w:numPr>
      </w:pPr>
      <w:r w:rsidRPr="003A759F">
        <w:t>Dar seguimiento a convenios y acuerdos vigentes.</w:t>
      </w:r>
    </w:p>
    <w:p w14:paraId="419219C8" w14:textId="77777777" w:rsidR="003A759F" w:rsidRPr="003A759F" w:rsidRDefault="003A759F" w:rsidP="003A759F">
      <w:pPr>
        <w:numPr>
          <w:ilvl w:val="0"/>
          <w:numId w:val="1"/>
        </w:numPr>
      </w:pPr>
      <w:r w:rsidRPr="003A759F">
        <w:t>Identificar fuentes de financiamiento internacional para proyectos prioritarios.</w:t>
      </w:r>
    </w:p>
    <w:p w14:paraId="1CF3DEE2" w14:textId="77777777" w:rsidR="003A759F" w:rsidRPr="003A759F" w:rsidRDefault="003A759F" w:rsidP="003A759F">
      <w:pPr>
        <w:numPr>
          <w:ilvl w:val="0"/>
          <w:numId w:val="1"/>
        </w:numPr>
      </w:pPr>
      <w:r w:rsidRPr="003A759F">
        <w:t>Promover la visibilidad de la EGEHID en foros y redes internacionales del sector energético.</w:t>
      </w:r>
    </w:p>
    <w:p w14:paraId="52BA33AE" w14:textId="77777777" w:rsidR="003A759F" w:rsidRPr="003A759F" w:rsidRDefault="006A1936" w:rsidP="003A759F">
      <w:r>
        <w:pict w14:anchorId="55B292D8">
          <v:rect id="_x0000_i1027" style="width:0;height:1.5pt" o:hralign="center" o:hrstd="t" o:hrnoshade="t" o:hr="t" fillcolor="#242424" stroked="f"/>
        </w:pict>
      </w:r>
    </w:p>
    <w:p w14:paraId="4C5D8129" w14:textId="77777777" w:rsidR="003A759F" w:rsidRPr="003A759F" w:rsidRDefault="003A759F" w:rsidP="003A759F">
      <w:r w:rsidRPr="003A759F">
        <w:rPr>
          <w:b/>
          <w:bCs/>
        </w:rPr>
        <w:t>3. Actividades Realizadas</w:t>
      </w:r>
    </w:p>
    <w:p w14:paraId="3A30F1C3" w14:textId="7B65777E" w:rsidR="003A759F" w:rsidRPr="003A759F" w:rsidRDefault="003A759F" w:rsidP="003A759F">
      <w:r w:rsidRPr="003A759F">
        <w:rPr>
          <w:b/>
          <w:bCs/>
        </w:rPr>
        <w:t>. Seguimiento a Convenios y Proyectos Vigentes</w:t>
      </w:r>
    </w:p>
    <w:p w14:paraId="24E6567A" w14:textId="7EA6084B" w:rsidR="00C300BE" w:rsidRDefault="00C300BE" w:rsidP="00C300BE">
      <w:pPr>
        <w:numPr>
          <w:ilvl w:val="0"/>
          <w:numId w:val="2"/>
        </w:numPr>
      </w:pPr>
      <w:r>
        <w:t>L</w:t>
      </w:r>
      <w:r w:rsidRPr="00C300BE">
        <w:t xml:space="preserve">a gerencia ha asumido la gestión </w:t>
      </w:r>
      <w:r w:rsidR="00D04752">
        <w:t>de</w:t>
      </w:r>
      <w:r w:rsidRPr="00C300BE">
        <w:t xml:space="preserve"> la membresía institucional con la International </w:t>
      </w:r>
      <w:proofErr w:type="spellStart"/>
      <w:r w:rsidRPr="00C300BE">
        <w:t>Hydropower</w:t>
      </w:r>
      <w:proofErr w:type="spellEnd"/>
      <w:r w:rsidRPr="00C300BE">
        <w:t xml:space="preserve"> </w:t>
      </w:r>
      <w:proofErr w:type="spellStart"/>
      <w:r w:rsidRPr="00C300BE">
        <w:t>Association</w:t>
      </w:r>
      <w:proofErr w:type="spellEnd"/>
      <w:r w:rsidRPr="00C300BE">
        <w:t xml:space="preserve"> (IHA), con quienes se mantienen conversaciones y se espera la propuesta formal para la certificación en sostenibilidad de tres de nuestros proyectos hidroeléctricos más relevantes: La Gina, </w:t>
      </w:r>
      <w:proofErr w:type="spellStart"/>
      <w:r w:rsidRPr="00C300BE">
        <w:t>Guaigüí</w:t>
      </w:r>
      <w:proofErr w:type="spellEnd"/>
      <w:r w:rsidRPr="00C300BE">
        <w:t xml:space="preserve"> y Sabaneta.</w:t>
      </w:r>
    </w:p>
    <w:p w14:paraId="42991843" w14:textId="0644954A" w:rsidR="006170CC" w:rsidRDefault="006170CC" w:rsidP="006170CC"/>
    <w:p w14:paraId="101FEE49" w14:textId="77777777" w:rsidR="006170CC" w:rsidRPr="003A759F" w:rsidRDefault="006170CC" w:rsidP="006170CC"/>
    <w:p w14:paraId="5CD7C4AB" w14:textId="77777777" w:rsidR="003A759F" w:rsidRPr="003A759F" w:rsidRDefault="003A759F" w:rsidP="003A759F">
      <w:r w:rsidRPr="003A759F">
        <w:rPr>
          <w:b/>
          <w:bCs/>
        </w:rPr>
        <w:lastRenderedPageBreak/>
        <w:t>3.2. Nuevas Gestiones de Cooperación</w:t>
      </w:r>
    </w:p>
    <w:p w14:paraId="1E767E61" w14:textId="26F469F1" w:rsidR="00C300BE" w:rsidRDefault="00C300BE" w:rsidP="00C300BE">
      <w:pPr>
        <w:numPr>
          <w:ilvl w:val="0"/>
          <w:numId w:val="3"/>
        </w:numPr>
      </w:pPr>
      <w:r w:rsidRPr="00C300BE">
        <w:rPr>
          <w:b/>
          <w:bCs/>
        </w:rPr>
        <w:t>Gobierno del Reino Unido (UK):</w:t>
      </w:r>
      <w:r>
        <w:t xml:space="preserve"> Donación de fondos no reembolsables destinados a la revisión y actualización del Máster Plan Energético 2024-2028 de EGEHID. Este proyecto </w:t>
      </w:r>
      <w:r w:rsidR="00351F9B">
        <w:t xml:space="preserve">fue desarrollado por la empresa </w:t>
      </w:r>
      <w:proofErr w:type="spellStart"/>
      <w:r w:rsidR="00351F9B">
        <w:t>Mott</w:t>
      </w:r>
      <w:proofErr w:type="spellEnd"/>
      <w:r w:rsidR="00351F9B">
        <w:t xml:space="preserve"> </w:t>
      </w:r>
      <w:proofErr w:type="spellStart"/>
      <w:r w:rsidR="00351F9B">
        <w:t>Macdonald</w:t>
      </w:r>
      <w:proofErr w:type="spellEnd"/>
      <w:r w:rsidR="00351F9B">
        <w:t>.</w:t>
      </w:r>
    </w:p>
    <w:p w14:paraId="42DAFFCB" w14:textId="7DFE25A5" w:rsidR="00C300BE" w:rsidRDefault="00C300BE" w:rsidP="00C300BE">
      <w:pPr>
        <w:numPr>
          <w:ilvl w:val="0"/>
          <w:numId w:val="3"/>
        </w:numPr>
      </w:pPr>
      <w:r w:rsidRPr="00C300BE">
        <w:rPr>
          <w:b/>
          <w:bCs/>
        </w:rPr>
        <w:t>Agencia Francesa de Desarrollo (AFD):</w:t>
      </w:r>
      <w:r>
        <w:t xml:space="preserve"> Donación de fondos no reembolsables para la realización de estudios complementarios al diagnóstico definitivo del </w:t>
      </w:r>
      <w:r w:rsidR="00351F9B">
        <w:t>P</w:t>
      </w:r>
      <w:r>
        <w:t xml:space="preserve">royecto de </w:t>
      </w:r>
      <w:r w:rsidR="00351F9B">
        <w:t>M</w:t>
      </w:r>
      <w:r>
        <w:t xml:space="preserve">odernización, </w:t>
      </w:r>
      <w:r w:rsidR="005878C4">
        <w:t>R</w:t>
      </w:r>
      <w:r>
        <w:t xml:space="preserve">ehabilitación y </w:t>
      </w:r>
      <w:r w:rsidR="005878C4">
        <w:t>R</w:t>
      </w:r>
      <w:r>
        <w:t xml:space="preserve">epotenciación de centrales hidroeléctricas existentes. </w:t>
      </w:r>
    </w:p>
    <w:p w14:paraId="5199A7D2" w14:textId="27BCE150" w:rsidR="00C300BE" w:rsidRDefault="00C300BE" w:rsidP="00C300BE">
      <w:pPr>
        <w:numPr>
          <w:ilvl w:val="0"/>
          <w:numId w:val="3"/>
        </w:numPr>
      </w:pPr>
      <w:r w:rsidRPr="00C300BE">
        <w:rPr>
          <w:b/>
          <w:bCs/>
        </w:rPr>
        <w:t>Gobierno de Suecia:</w:t>
      </w:r>
      <w:r>
        <w:t xml:space="preserve"> Donación de fondos no reembolsables para la elaboración del diagnóstico definitivo del proyecto de modernización, rehabilitación y repotenciación de centrales hidroeléctricas existentes. Este proyecto se encuentra actualmente en fase de aprobación.</w:t>
      </w:r>
    </w:p>
    <w:p w14:paraId="0EC80945" w14:textId="4A821941" w:rsidR="00C300BE" w:rsidRDefault="00C300BE" w:rsidP="00FB2321">
      <w:pPr>
        <w:ind w:left="360"/>
      </w:pPr>
      <w:r>
        <w:t xml:space="preserve">Es importante resaltar que, en el marco de las conversaciones con la AFD, se mantiene una estrecha coordinación con la Sra. Rachel Meunier, consultora especializada en género </w:t>
      </w:r>
      <w:r w:rsidR="00FB2321">
        <w:t>para</w:t>
      </w:r>
      <w:r>
        <w:t xml:space="preserve"> el sector energético. Con ella se trabaja en la implementación de dos programas de alto impacto social, los cuales serán financiados con fondos no reembolsables provistos por la AFD:</w:t>
      </w:r>
    </w:p>
    <w:p w14:paraId="2B1857B6" w14:textId="12C8387A" w:rsidR="00C300BE" w:rsidRPr="00C300BE" w:rsidRDefault="00C300BE" w:rsidP="00C300BE">
      <w:pPr>
        <w:numPr>
          <w:ilvl w:val="0"/>
          <w:numId w:val="3"/>
        </w:numPr>
        <w:rPr>
          <w:b/>
          <w:bCs/>
        </w:rPr>
      </w:pPr>
      <w:r>
        <w:t>    </w:t>
      </w:r>
      <w:r w:rsidRPr="00C300BE">
        <w:rPr>
          <w:b/>
          <w:bCs/>
        </w:rPr>
        <w:t>Programa de Igualdad y Equidad de Género.</w:t>
      </w:r>
    </w:p>
    <w:p w14:paraId="55A5F9CE" w14:textId="290C37EC" w:rsidR="003A759F" w:rsidRPr="003A759F" w:rsidRDefault="00C300BE" w:rsidP="00C300BE">
      <w:pPr>
        <w:numPr>
          <w:ilvl w:val="0"/>
          <w:numId w:val="3"/>
        </w:numPr>
        <w:rPr>
          <w:b/>
          <w:bCs/>
        </w:rPr>
      </w:pPr>
      <w:r w:rsidRPr="00C300BE">
        <w:rPr>
          <w:b/>
          <w:bCs/>
        </w:rPr>
        <w:t xml:space="preserve">    Programa de </w:t>
      </w:r>
      <w:proofErr w:type="spellStart"/>
      <w:r w:rsidRPr="00C300BE">
        <w:rPr>
          <w:b/>
          <w:bCs/>
        </w:rPr>
        <w:t>Mentoring</w:t>
      </w:r>
      <w:proofErr w:type="spellEnd"/>
      <w:r w:rsidRPr="00C300BE">
        <w:rPr>
          <w:b/>
          <w:bCs/>
        </w:rPr>
        <w:t>.</w:t>
      </w:r>
    </w:p>
    <w:p w14:paraId="5619C480" w14:textId="77777777" w:rsidR="003A759F" w:rsidRPr="003A759F" w:rsidRDefault="003A759F" w:rsidP="003A759F">
      <w:r w:rsidRPr="003A759F">
        <w:rPr>
          <w:b/>
          <w:bCs/>
        </w:rPr>
        <w:t>3.3. Participación Internacional</w:t>
      </w:r>
    </w:p>
    <w:p w14:paraId="17DC9A88" w14:textId="4E8C83A7" w:rsidR="006170CC" w:rsidRPr="006170CC" w:rsidRDefault="006170CC" w:rsidP="003A759F">
      <w:pPr>
        <w:numPr>
          <w:ilvl w:val="0"/>
          <w:numId w:val="4"/>
        </w:numPr>
        <w:rPr>
          <w:b/>
          <w:bCs/>
        </w:rPr>
      </w:pPr>
      <w:r>
        <w:t xml:space="preserve">Participación de manera virtual en el </w:t>
      </w:r>
      <w:r w:rsidRPr="006170CC">
        <w:t xml:space="preserve">evento hidroeléctrico internacional más importante del año: </w:t>
      </w:r>
      <w:r w:rsidRPr="006170CC">
        <w:rPr>
          <w:b/>
          <w:bCs/>
        </w:rPr>
        <w:t>el Foro Internacional sobre Energía Hidroeléctrica de Almacenamiento por Bombeo.</w:t>
      </w:r>
    </w:p>
    <w:p w14:paraId="3D3BEC74" w14:textId="77777777" w:rsidR="00C300BE" w:rsidRDefault="00C300BE" w:rsidP="003A759F">
      <w:pPr>
        <w:rPr>
          <w:b/>
          <w:bCs/>
        </w:rPr>
      </w:pPr>
    </w:p>
    <w:p w14:paraId="56170C31" w14:textId="1A07EDD6" w:rsidR="003A759F" w:rsidRPr="003A759F" w:rsidRDefault="003A759F" w:rsidP="003A759F">
      <w:r w:rsidRPr="003A759F">
        <w:rPr>
          <w:b/>
          <w:bCs/>
        </w:rPr>
        <w:t>3.4. Articulación Interinstitucional</w:t>
      </w:r>
    </w:p>
    <w:p w14:paraId="2141CF87" w14:textId="710DCD13" w:rsidR="006809CD" w:rsidRDefault="007D52D7" w:rsidP="00FE30EC">
      <w:pPr>
        <w:numPr>
          <w:ilvl w:val="0"/>
          <w:numId w:val="5"/>
        </w:numPr>
        <w:rPr>
          <w:lang w:val="es-DO"/>
        </w:rPr>
      </w:pPr>
      <w:r>
        <w:t xml:space="preserve">Sesión de trabajo </w:t>
      </w:r>
      <w:r w:rsidR="00297670">
        <w:t xml:space="preserve">el 03/04/2025 </w:t>
      </w:r>
      <w:r>
        <w:t>con</w:t>
      </w:r>
      <w:r w:rsidR="009A6DD9">
        <w:t xml:space="preserve"> </w:t>
      </w:r>
      <w:r w:rsidR="005B0153">
        <w:t xml:space="preserve">la Dirección de Análisis y Coordinación de Cooperación Internacional, con la presencia de </w:t>
      </w:r>
      <w:proofErr w:type="spellStart"/>
      <w:r w:rsidR="005B0153" w:rsidRPr="00B70618">
        <w:rPr>
          <w:lang w:val="es-DO"/>
        </w:rPr>
        <w:t>Bethania</w:t>
      </w:r>
      <w:proofErr w:type="spellEnd"/>
      <w:r w:rsidR="005B0153" w:rsidRPr="00B70618">
        <w:rPr>
          <w:lang w:val="es-DO"/>
        </w:rPr>
        <w:t xml:space="preserve"> </w:t>
      </w:r>
      <w:proofErr w:type="spellStart"/>
      <w:r w:rsidR="005B0153" w:rsidRPr="00B70618">
        <w:rPr>
          <w:lang w:val="es-DO"/>
        </w:rPr>
        <w:t>Vegazo</w:t>
      </w:r>
      <w:proofErr w:type="spellEnd"/>
      <w:r w:rsidR="00290D33" w:rsidRPr="00B70618">
        <w:rPr>
          <w:lang w:val="es-DO"/>
        </w:rPr>
        <w:t xml:space="preserve">, </w:t>
      </w:r>
      <w:r w:rsidR="005B0153" w:rsidRPr="005B0153">
        <w:rPr>
          <w:lang w:val="es-DO"/>
        </w:rPr>
        <w:t>Janna Lóp</w:t>
      </w:r>
      <w:r w:rsidR="00290D33" w:rsidRPr="00B70618">
        <w:rPr>
          <w:lang w:val="es-DO"/>
        </w:rPr>
        <w:t xml:space="preserve">ez y </w:t>
      </w:r>
      <w:r w:rsidR="005B0153" w:rsidRPr="005B0153">
        <w:rPr>
          <w:lang w:val="es-DO"/>
        </w:rPr>
        <w:t>Arleny Marte</w:t>
      </w:r>
      <w:r w:rsidR="006809CD" w:rsidRPr="00B70618">
        <w:rPr>
          <w:lang w:val="es-DO"/>
        </w:rPr>
        <w:t>, donde se abordaron los protocolos necesarios para realizar visitas y establecer acuerdos interinstitucionales, s</w:t>
      </w:r>
      <w:r w:rsidR="006809CD" w:rsidRPr="006809CD">
        <w:rPr>
          <w:lang w:val="es-DO"/>
        </w:rPr>
        <w:t xml:space="preserve">e </w:t>
      </w:r>
      <w:r w:rsidR="00B70618" w:rsidRPr="00B70618">
        <w:rPr>
          <w:lang w:val="es-DO"/>
        </w:rPr>
        <w:t xml:space="preserve">conversó sobre la </w:t>
      </w:r>
      <w:r w:rsidR="006809CD" w:rsidRPr="006809CD">
        <w:rPr>
          <w:lang w:val="es-DO"/>
        </w:rPr>
        <w:t>importancia de una adecuada vinculación con organismos de cooperación internacional</w:t>
      </w:r>
      <w:r w:rsidR="004C1A04" w:rsidRPr="00B70618">
        <w:rPr>
          <w:lang w:val="es-DO"/>
        </w:rPr>
        <w:t xml:space="preserve">, </w:t>
      </w:r>
      <w:r w:rsidR="00B70618" w:rsidRPr="00B70618">
        <w:rPr>
          <w:lang w:val="es-DO"/>
        </w:rPr>
        <w:t>s</w:t>
      </w:r>
      <w:r w:rsidR="006809CD" w:rsidRPr="006809CD">
        <w:rPr>
          <w:lang w:val="es-DO"/>
        </w:rPr>
        <w:t>e mencionaron los principales proyectos de EGEHID, con el objetivo de que el MEPyD pueda compartir esta información con potenciales inversionistas y así identificar posibles interesados</w:t>
      </w:r>
      <w:r w:rsidR="00B70618" w:rsidRPr="00B70618">
        <w:rPr>
          <w:lang w:val="es-DO"/>
        </w:rPr>
        <w:t xml:space="preserve">, </w:t>
      </w:r>
      <w:r w:rsidR="002C20A4">
        <w:rPr>
          <w:lang w:val="es-DO"/>
        </w:rPr>
        <w:t xml:space="preserve">y </w:t>
      </w:r>
      <w:r w:rsidR="00B70618" w:rsidRPr="00B70618">
        <w:rPr>
          <w:lang w:val="es-DO"/>
        </w:rPr>
        <w:t xml:space="preserve">se </w:t>
      </w:r>
      <w:r w:rsidR="006809CD" w:rsidRPr="006809CD">
        <w:rPr>
          <w:lang w:val="es-DO"/>
        </w:rPr>
        <w:t>propuso la elaboración de un taller dirigido a EGEHID, enfocado en temas de cooperación internacional</w:t>
      </w:r>
      <w:r w:rsidR="00B70618" w:rsidRPr="00B70618">
        <w:rPr>
          <w:lang w:val="es-DO"/>
        </w:rPr>
        <w:t xml:space="preserve">, </w:t>
      </w:r>
      <w:r w:rsidR="006809CD" w:rsidRPr="006809CD">
        <w:rPr>
          <w:lang w:val="es-DO"/>
        </w:rPr>
        <w:t xml:space="preserve"> discutir internamente los pasos a seguir para su adecuada organización.</w:t>
      </w:r>
    </w:p>
    <w:p w14:paraId="5A697EC0" w14:textId="77777777" w:rsidR="002C20A4" w:rsidRPr="009A6DD9" w:rsidRDefault="002C20A4" w:rsidP="002C20A4">
      <w:pPr>
        <w:numPr>
          <w:ilvl w:val="0"/>
          <w:numId w:val="5"/>
        </w:numPr>
      </w:pPr>
      <w:r w:rsidRPr="003A759F">
        <w:t>Coordinación con la Dirección de Planificación y Desarrollo para la alineación de las propuestas de cooperación con el POA institucional.</w:t>
      </w:r>
      <w:r>
        <w:t xml:space="preserve"> En el cual se gestionó un taller orientativo </w:t>
      </w:r>
      <w:r w:rsidRPr="00C300BE">
        <w:t>en coordinación con el Ministerio de Energía y Minas para la organización de un taller ampliado, con la participación del ente rector</w:t>
      </w:r>
      <w:r>
        <w:t xml:space="preserve">, </w:t>
      </w:r>
      <w:r w:rsidRPr="00C300BE">
        <w:t>Este taller está previsto para el tercer trimestre del presente año.</w:t>
      </w:r>
      <w:r w:rsidRPr="006D162B">
        <w:rPr>
          <w:b/>
          <w:bCs/>
          <w:color w:val="4472C4" w:themeColor="accent1"/>
        </w:rPr>
        <w:t xml:space="preserve"> </w:t>
      </w:r>
    </w:p>
    <w:p w14:paraId="6276E344" w14:textId="4C18A8C4" w:rsidR="003A759F" w:rsidRPr="003A759F" w:rsidRDefault="006A1936" w:rsidP="003A759F">
      <w:r>
        <w:pict w14:anchorId="41C594FA">
          <v:rect id="_x0000_i1028" style="width:0;height:1.5pt" o:hralign="center" o:hrstd="t" o:hrnoshade="t" o:hr="t" fillcolor="#242424" stroked="f"/>
        </w:pict>
      </w:r>
    </w:p>
    <w:p w14:paraId="05F98D9C" w14:textId="18805B9F" w:rsidR="003A759F" w:rsidRPr="003A759F" w:rsidRDefault="003A759F" w:rsidP="003A759F">
      <w:r w:rsidRPr="003A759F">
        <w:rPr>
          <w:b/>
          <w:bCs/>
        </w:rPr>
        <w:lastRenderedPageBreak/>
        <w:t>5. Dificultades y Retos</w:t>
      </w:r>
      <w:r w:rsidR="004620B0">
        <w:rPr>
          <w:b/>
          <w:bCs/>
        </w:rPr>
        <w:t xml:space="preserve"> </w:t>
      </w:r>
    </w:p>
    <w:p w14:paraId="51BA4E59" w14:textId="77777777" w:rsidR="003A759F" w:rsidRPr="003A759F" w:rsidRDefault="003A759F" w:rsidP="003A759F">
      <w:pPr>
        <w:numPr>
          <w:ilvl w:val="0"/>
          <w:numId w:val="6"/>
        </w:numPr>
      </w:pPr>
      <w:r w:rsidRPr="003A759F">
        <w:t>Dilaciones en los tiempos de respuesta por parte de organismos multilaterales.</w:t>
      </w:r>
    </w:p>
    <w:p w14:paraId="3DE2295F" w14:textId="149158FE" w:rsidR="006170CC" w:rsidRPr="003A759F" w:rsidRDefault="003A759F" w:rsidP="006170CC">
      <w:pPr>
        <w:numPr>
          <w:ilvl w:val="0"/>
          <w:numId w:val="6"/>
        </w:numPr>
      </w:pPr>
      <w:r w:rsidRPr="003A759F">
        <w:t>Necesidad de fortalecer las capacidades internas para formulación de propuestas más competitivas en cooperación técnica y financiera.</w:t>
      </w:r>
    </w:p>
    <w:p w14:paraId="0E2D70AA" w14:textId="77777777" w:rsidR="003A759F" w:rsidRPr="003A759F" w:rsidRDefault="006A1936" w:rsidP="003A759F">
      <w:r>
        <w:pict w14:anchorId="53F11F86">
          <v:rect id="_x0000_i1029" style="width:0;height:1.5pt" o:hralign="center" o:hrstd="t" o:hrnoshade="t" o:hr="t" fillcolor="#242424" stroked="f"/>
        </w:pict>
      </w:r>
    </w:p>
    <w:p w14:paraId="018EE2C7" w14:textId="77777777" w:rsidR="006170CC" w:rsidRDefault="006170CC" w:rsidP="003A759F">
      <w:pPr>
        <w:rPr>
          <w:b/>
          <w:bCs/>
        </w:rPr>
      </w:pPr>
    </w:p>
    <w:p w14:paraId="0047EA80" w14:textId="21650E2E" w:rsidR="003A759F" w:rsidRPr="003A759F" w:rsidRDefault="003A759F" w:rsidP="003A759F">
      <w:r w:rsidRPr="003A759F">
        <w:rPr>
          <w:b/>
          <w:bCs/>
        </w:rPr>
        <w:t xml:space="preserve">6. Próximos Pasos (Julio - </w:t>
      </w:r>
      <w:r w:rsidR="00C300BE" w:rsidRPr="003A759F">
        <w:rPr>
          <w:b/>
          <w:bCs/>
        </w:rPr>
        <w:t>septiembre</w:t>
      </w:r>
      <w:r w:rsidRPr="003A759F">
        <w:rPr>
          <w:b/>
          <w:bCs/>
        </w:rPr>
        <w:t xml:space="preserve"> 2025)</w:t>
      </w:r>
      <w:r w:rsidR="004620B0">
        <w:rPr>
          <w:b/>
          <w:bCs/>
        </w:rPr>
        <w:t xml:space="preserve"> </w:t>
      </w:r>
    </w:p>
    <w:p w14:paraId="220721E6" w14:textId="106E14B8" w:rsidR="00E77589" w:rsidRPr="003A759F" w:rsidRDefault="003A759F" w:rsidP="00A27802">
      <w:pPr>
        <w:numPr>
          <w:ilvl w:val="0"/>
          <w:numId w:val="7"/>
        </w:numPr>
      </w:pPr>
      <w:r w:rsidRPr="003A759F">
        <w:t>Proponer un reglamento interno para la gestión de cooperación internacional en EGEHID.</w:t>
      </w:r>
    </w:p>
    <w:p w14:paraId="44A78300" w14:textId="77777777" w:rsidR="003A759F" w:rsidRPr="003A759F" w:rsidRDefault="006A1936" w:rsidP="003A759F">
      <w:r>
        <w:pict w14:anchorId="64533650">
          <v:rect id="_x0000_i1030" style="width:0;height:1.5pt" o:hralign="center" o:hrstd="t" o:hrnoshade="t" o:hr="t" fillcolor="#242424" stroked="f"/>
        </w:pict>
      </w:r>
    </w:p>
    <w:p w14:paraId="58EFF611" w14:textId="77777777" w:rsidR="00C300BE" w:rsidRDefault="00C300BE" w:rsidP="003A759F">
      <w:pPr>
        <w:rPr>
          <w:b/>
          <w:bCs/>
        </w:rPr>
      </w:pPr>
    </w:p>
    <w:p w14:paraId="42FD1A87" w14:textId="77777777" w:rsidR="00C300BE" w:rsidRDefault="00C300BE" w:rsidP="003A759F">
      <w:pPr>
        <w:rPr>
          <w:b/>
          <w:bCs/>
        </w:rPr>
      </w:pPr>
    </w:p>
    <w:p w14:paraId="6959655F" w14:textId="08BFD939" w:rsidR="003A759F" w:rsidRPr="003A759F" w:rsidRDefault="003A759F" w:rsidP="003A759F">
      <w:r w:rsidRPr="003A759F">
        <w:rPr>
          <w:b/>
          <w:bCs/>
        </w:rPr>
        <w:t>7. Conclusión</w:t>
      </w:r>
    </w:p>
    <w:p w14:paraId="2592ED91" w14:textId="77777777" w:rsidR="003A759F" w:rsidRPr="003A759F" w:rsidRDefault="003A759F" w:rsidP="003A759F">
      <w:r w:rsidRPr="003A759F">
        <w:t>El segundo trimestre ha sido positivo en términos de relaciones estratégicas y posicionamiento internacional de la EGEHID. Se identificaron nuevas oportunidades y se avanzó en la ejecución y monitoreo de convenios. La Gerencia de Cooperación Internacional reafirma su compromiso con una gestión proactiva, alineada a los lineamientos institucionales y las prioridades del país en materia energética y de sostenibilidad</w:t>
      </w:r>
    </w:p>
    <w:p w14:paraId="5DA66F65" w14:textId="77777777" w:rsidR="003A759F" w:rsidRDefault="003A759F"/>
    <w:sectPr w:rsidR="003A7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306A"/>
    <w:multiLevelType w:val="multilevel"/>
    <w:tmpl w:val="1A56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44A17"/>
    <w:multiLevelType w:val="multilevel"/>
    <w:tmpl w:val="37D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47EC3"/>
    <w:multiLevelType w:val="multilevel"/>
    <w:tmpl w:val="81FE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3035D"/>
    <w:multiLevelType w:val="multilevel"/>
    <w:tmpl w:val="755E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634FE"/>
    <w:multiLevelType w:val="multilevel"/>
    <w:tmpl w:val="67E2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1A6014"/>
    <w:multiLevelType w:val="multilevel"/>
    <w:tmpl w:val="7372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CA4F6F"/>
    <w:multiLevelType w:val="multilevel"/>
    <w:tmpl w:val="2108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9F"/>
    <w:rsid w:val="00167821"/>
    <w:rsid w:val="00173A70"/>
    <w:rsid w:val="001B70B3"/>
    <w:rsid w:val="00290D33"/>
    <w:rsid w:val="00294AE8"/>
    <w:rsid w:val="00297670"/>
    <w:rsid w:val="002C20A4"/>
    <w:rsid w:val="00351F9B"/>
    <w:rsid w:val="003A759F"/>
    <w:rsid w:val="003C6664"/>
    <w:rsid w:val="004620B0"/>
    <w:rsid w:val="004C1A04"/>
    <w:rsid w:val="00504B0E"/>
    <w:rsid w:val="005878C4"/>
    <w:rsid w:val="005B0153"/>
    <w:rsid w:val="006170CC"/>
    <w:rsid w:val="006809CD"/>
    <w:rsid w:val="006A1936"/>
    <w:rsid w:val="006D162B"/>
    <w:rsid w:val="007D52D7"/>
    <w:rsid w:val="00847B23"/>
    <w:rsid w:val="009A6DD9"/>
    <w:rsid w:val="00A27802"/>
    <w:rsid w:val="00A974F5"/>
    <w:rsid w:val="00B70618"/>
    <w:rsid w:val="00C300BE"/>
    <w:rsid w:val="00D04752"/>
    <w:rsid w:val="00E77589"/>
    <w:rsid w:val="00F56BBA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3E3F"/>
  <w15:chartTrackingRefBased/>
  <w15:docId w15:val="{D1E28404-D4CB-4E0A-87DB-84A5B5C6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1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3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2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0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2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3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8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6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29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0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0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2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8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8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3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5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3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94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Dante Tejeda Lorenzo</dc:creator>
  <cp:keywords/>
  <dc:description/>
  <cp:lastModifiedBy>Yolanda Evangelista Pérez</cp:lastModifiedBy>
  <cp:revision>2</cp:revision>
  <dcterms:created xsi:type="dcterms:W3CDTF">2025-07-23T15:16:00Z</dcterms:created>
  <dcterms:modified xsi:type="dcterms:W3CDTF">2025-07-23T15:16:00Z</dcterms:modified>
</cp:coreProperties>
</file>